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7266"/>
        <w:gridCol w:w="7304"/>
      </w:tblGrid>
      <w:tr>
        <w:trPr>
          <w:trHeight w:val="1839"/>
        </w:trPr>
        <w:tc>
          <w:tcPr>
            <w:tcW w:w="7266" w:type="dxa"/>
            <w:textDirection w:val="lrTb"/>
            <w:noWrap w:val="false"/>
          </w:tcPr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5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7304" w:type="dxa"/>
            <w:textDirection w:val="lrTb"/>
            <w:noWrap w:val="false"/>
          </w:tcPr>
          <w:p>
            <w:pPr>
              <w:pStyle w:val="660"/>
              <w:numPr>
                <w:ilvl w:val="0"/>
                <w:numId w:val="1"/>
              </w:numPr>
              <w:ind w:left="113" w:right="113" w:firstLine="0"/>
              <w:jc w:val="center"/>
              <w:spacing w:before="0" w:after="0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«Приложение № 6</w:t>
            </w:r>
            <w:r>
              <w:rPr>
                <w:highlight w:val="none"/>
                <w:shd w:val="clear" w:color="auto" w:fill="auto"/>
              </w:rPr>
            </w:r>
          </w:p>
          <w:p>
            <w:pPr>
              <w:pStyle w:val="660"/>
              <w:numPr>
                <w:ilvl w:val="0"/>
                <w:numId w:val="1"/>
              </w:numPr>
              <w:ind w:left="113" w:right="113" w:firstLine="0"/>
              <w:jc w:val="center"/>
              <w:spacing w:before="0" w:after="0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к Порядку предоставления субсидий из краевого бюджета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 сельскохозяйственным товаропроизводителям Приморского края (за исключением граждан, ведущих личное подсобное хозяйство) на возмещение части затрат, связанных со стимулированием развития приоритетных подотраслей агропромышленного комплекса Приморского края</w:t>
            </w:r>
            <w:r>
              <w:rPr>
                <w:highlight w:val="none"/>
                <w:shd w:val="clear" w:color="auto" w:fill="auto"/>
              </w:rPr>
            </w:r>
          </w:p>
          <w:p>
            <w:pPr>
              <w:pStyle w:val="660"/>
              <w:numPr>
                <w:ilvl w:val="0"/>
                <w:numId w:val="1"/>
              </w:numPr>
              <w:ind w:right="0" w:firstLine="720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rPr>
          <w:trHeight w:val="424"/>
        </w:trPr>
        <w:tc>
          <w:tcPr>
            <w:tcW w:w="7266" w:type="dxa"/>
            <w:textDirection w:val="lrTb"/>
            <w:noWrap w:val="false"/>
          </w:tcPr>
          <w:p>
            <w:pPr>
              <w:pStyle w:val="663"/>
              <w:numPr>
                <w:ilvl w:val="0"/>
                <w:numId w:val="1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</w:t>
            </w:r>
            <w:r>
              <w:rPr>
                <w:sz w:val="28"/>
                <w:szCs w:val="28"/>
              </w:rPr>
            </w:r>
          </w:p>
        </w:tc>
        <w:tc>
          <w:tcPr>
            <w:tcW w:w="7304" w:type="dxa"/>
            <w:textDirection w:val="lrTb"/>
            <w:noWrap w:val="false"/>
          </w:tcPr>
          <w:p>
            <w:pPr>
              <w:pStyle w:val="665"/>
              <w:numPr>
                <w:ilvl w:val="0"/>
                <w:numId w:val="1"/>
              </w:num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645"/>
        <w:jc w:val="center"/>
        <w:rPr>
          <w:rFonts w:ascii="Times New Roman" w:hAnsi="Times New Roman"/>
        </w:rPr>
      </w:pPr>
      <w:r>
        <w:rPr>
          <w:b/>
          <w:sz w:val="28"/>
          <w:szCs w:val="28"/>
        </w:rPr>
        <w:t xml:space="preserve">СПРАВКА-РАСЧЕТ</w:t>
      </w:r>
      <w:r>
        <w:rPr>
          <w:rFonts w:ascii="Times New Roman" w:hAnsi="Times New Roman"/>
        </w:rPr>
      </w:r>
    </w:p>
    <w:p>
      <w:pPr>
        <w:pStyle w:val="645"/>
        <w:jc w:val="center"/>
        <w:rPr>
          <w:rFonts w:ascii="Times New Roman" w:hAnsi="Times New Roman"/>
        </w:rPr>
      </w:pPr>
      <w:r>
        <w:rPr>
          <w:sz w:val="28"/>
          <w:szCs w:val="28"/>
        </w:rPr>
        <w:t xml:space="preserve">причитающейся субсидии на возмещение части затрат, связанных с производством и реализацией и (или) </w:t>
      </w:r>
      <w:r>
        <w:rPr>
          <w:rFonts w:ascii="Times New Roman" w:hAnsi="Times New Roman"/>
        </w:rPr>
      </w:r>
    </w:p>
    <w:p>
      <w:pPr>
        <w:pStyle w:val="645"/>
        <w:jc w:val="center"/>
        <w:rPr>
          <w:rFonts w:ascii="Times New Roman" w:hAnsi="Times New Roman"/>
        </w:rPr>
      </w:pPr>
      <w:r>
        <w:rPr>
          <w:sz w:val="28"/>
          <w:szCs w:val="28"/>
        </w:rPr>
        <w:t xml:space="preserve">отгрузкой на собственную переработку молока</w:t>
      </w:r>
      <w:r>
        <w:rPr>
          <w:rFonts w:ascii="Times New Roman" w:hAnsi="Times New Roman"/>
        </w:rPr>
      </w:r>
    </w:p>
    <w:p>
      <w:pPr>
        <w:pStyle w:val="645"/>
        <w:jc w:val="center"/>
        <w:rPr>
          <w:rFonts w:ascii="Times New Roman" w:hAnsi="Times New Roman"/>
        </w:rPr>
      </w:pPr>
      <w:r>
        <w:rPr>
          <w:sz w:val="28"/>
          <w:szCs w:val="28"/>
        </w:rPr>
        <w:t xml:space="preserve">за _______________________20__ год (а)</w:t>
      </w:r>
      <w:r>
        <w:rPr>
          <w:rFonts w:ascii="Times New Roman" w:hAnsi="Times New Roman"/>
        </w:rPr>
      </w:r>
    </w:p>
    <w:p>
      <w:pPr>
        <w:pStyle w:val="645"/>
        <w:ind w:left="3540" w:firstLine="0"/>
        <w:rPr>
          <w:rFonts w:ascii="Times New Roman" w:hAnsi="Times New Roman"/>
        </w:rPr>
      </w:pPr>
      <w:r>
        <w:rPr>
          <w:b/>
        </w:rPr>
        <w:t xml:space="preserve">                                               </w:t>
      </w:r>
      <w:r>
        <w:t xml:space="preserve">(квартал)</w:t>
      </w:r>
      <w:r>
        <w:rPr>
          <w:rFonts w:ascii="Times New Roman" w:hAnsi="Times New Roman"/>
        </w:rPr>
      </w:r>
    </w:p>
    <w:p>
      <w:pPr>
        <w:pStyle w:val="645"/>
        <w:rPr>
          <w:rFonts w:ascii="Times New Roman" w:hAnsi="Times New Roman"/>
        </w:rPr>
        <w:pBdr>
          <w:bottom w:val="single" w:color="000000" w:sz="4" w:space="0"/>
        </w:pBdr>
      </w:pPr>
      <w:r/>
      <w:r>
        <w:rPr>
          <w:rFonts w:ascii="Times New Roman" w:hAnsi="Times New Roman"/>
        </w:rPr>
      </w:r>
    </w:p>
    <w:p>
      <w:pPr>
        <w:pStyle w:val="645"/>
        <w:ind w:firstLine="708"/>
        <w:jc w:val="center"/>
        <w:rPr>
          <w:rFonts w:ascii="Times New Roman" w:hAnsi="Times New Roman"/>
        </w:rPr>
      </w:pPr>
      <w:r>
        <w:t xml:space="preserve">Наименование сельскохозяйственного товаропроизводителя Приморского края (далее – субъект сельскохозяйственной деятельности) </w:t>
      </w:r>
      <w:r>
        <w:rPr>
          <w:rFonts w:ascii="Times New Roman" w:hAnsi="Times New Roman"/>
        </w:rPr>
      </w:r>
    </w:p>
    <w:p>
      <w:pPr>
        <w:pStyle w:val="645"/>
        <w:rPr>
          <w:rFonts w:ascii="Times New Roman" w:hAnsi="Times New Roman"/>
        </w:rPr>
        <w:pBdr>
          <w:bottom w:val="single" w:color="000000" w:sz="4" w:space="1"/>
        </w:pBdr>
      </w:pPr>
      <w:r/>
      <w:r>
        <w:rPr>
          <w:rFonts w:ascii="Times New Roman" w:hAnsi="Times New Roman"/>
        </w:rPr>
      </w:r>
    </w:p>
    <w:p>
      <w:pPr>
        <w:pStyle w:val="645"/>
        <w:jc w:val="center"/>
        <w:spacing w:line="360" w:lineRule="auto"/>
        <w:rPr>
          <w:rFonts w:ascii="Times New Roman" w:hAnsi="Times New Roman"/>
        </w:rPr>
      </w:pPr>
      <w:r>
        <w:t xml:space="preserve">муниципального района, муниципального округа, городского округа  </w:t>
      </w:r>
      <w:r>
        <w:rPr>
          <w:rFonts w:ascii="Times New Roman" w:hAnsi="Times New Roman"/>
        </w:rPr>
      </w:r>
    </w:p>
    <w:tbl>
      <w:tblPr>
        <w:tblW w:w="5000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6"/>
        <w:gridCol w:w="1091"/>
        <w:gridCol w:w="1332"/>
        <w:gridCol w:w="1910"/>
        <w:gridCol w:w="1253"/>
        <w:gridCol w:w="1412"/>
        <w:gridCol w:w="1412"/>
        <w:gridCol w:w="1429"/>
        <w:gridCol w:w="1801"/>
        <w:gridCol w:w="1898"/>
        <w:gridCol w:w="1005"/>
      </w:tblGrid>
      <w:tr>
        <w:trPr>
          <w:cantSplit/>
          <w:trHeight w:val="267"/>
        </w:trPr>
        <w:tc>
          <w:tcPr>
            <w:tcW w:w="26" w:type="dxa"/>
            <w:textDirection w:val="lrTb"/>
            <w:noWrap w:val="false"/>
          </w:tcPr>
          <w:p>
            <w:pPr>
              <w:pStyle w:val="664"/>
              <w:widowControl w:val="off"/>
              <w:rPr>
                <w:rFonts w:ascii="Times New Roman" w:hAnsi="Times New Roman"/>
              </w:rPr>
            </w:pPr>
            <w:r/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91" w:type="dxa"/>
            <w:vAlign w:val="center"/>
            <w:vMerge w:val="restart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Наименование вида  продукции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332" w:type="dxa"/>
            <w:vAlign w:val="center"/>
            <w:vMerge w:val="restart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Кол-во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реализованного и (или) отгруженного на собственную переработку молока,</w:t>
            </w:r>
            <w:r>
              <w:rPr>
                <w:rFonts w:eastAsia="Calibri"/>
                <w:b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*</w:t>
            </w:r>
            <w:r>
              <w:rPr>
                <w:sz w:val="20"/>
                <w:szCs w:val="20"/>
                <w:shd w:val="clear" w:color="auto" w:fill="auto"/>
              </w:rPr>
              <w:t xml:space="preserve"> кг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10" w:type="dxa"/>
            <w:vAlign w:val="center"/>
            <w:vMerge w:val="restart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Размер ставки субсидии за 1 кг реализованного и (или) отгруженного на собственную переработку молока,</w:t>
            </w:r>
            <w:r>
              <w:rPr>
                <w:b/>
                <w:sz w:val="20"/>
                <w:szCs w:val="20"/>
                <w:shd w:val="clear" w:color="auto" w:fill="auto"/>
              </w:rPr>
              <w:t xml:space="preserve">**</w:t>
            </w:r>
            <w:r>
              <w:rPr>
                <w:sz w:val="20"/>
                <w:szCs w:val="20"/>
                <w:shd w:val="clear" w:color="auto" w:fill="auto"/>
              </w:rPr>
              <w:t xml:space="preserve">/ (имеющих собственную переработку молока </w:t>
            </w:r>
            <w:r>
              <w:rPr>
                <w:b/>
                <w:sz w:val="20"/>
                <w:szCs w:val="20"/>
                <w:shd w:val="clear" w:color="auto" w:fill="auto"/>
              </w:rPr>
              <w:t xml:space="preserve">***</w:t>
            </w:r>
            <w:r>
              <w:rPr>
                <w:sz w:val="20"/>
                <w:szCs w:val="20"/>
                <w:shd w:val="clear" w:color="auto" w:fill="auto"/>
              </w:rPr>
              <w:t xml:space="preserve">), руб.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253" w:type="dxa"/>
            <w:vAlign w:val="center"/>
            <w:vMerge w:val="restart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sz w:val="20"/>
                <w:szCs w:val="20"/>
                <w:shd w:val="clear" w:color="auto" w:fill="auto"/>
                <w:lang w:eastAsia="en-US"/>
              </w:rPr>
              <w:t xml:space="preserve">Повышающий коэффициент </w:t>
            </w:r>
            <w:r>
              <w:rPr>
                <w:b w:val="0"/>
                <w:sz w:val="20"/>
                <w:szCs w:val="20"/>
                <w:shd w:val="clear" w:color="auto" w:fill="auto"/>
              </w:rPr>
              <w:t xml:space="preserve">k=1</w:t>
            </w:r>
            <w:r>
              <w:rPr>
                <w:rFonts w:eastAsia="Calibri"/>
                <w:sz w:val="20"/>
                <w:szCs w:val="20"/>
                <w:shd w:val="clear" w:color="auto" w:fill="auto"/>
                <w:lang w:eastAsia="en-US"/>
              </w:rPr>
              <w:t xml:space="preserve">,2 для районов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приравненных к районам Крайнего Севера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795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b w:val="0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Коэффициент k1**** в размере 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05" w:type="dxa"/>
            <w:vAlign w:val="center"/>
            <w:vMerge w:val="restart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Сумма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причитающейся субсидии, руб.</w:t>
            </w:r>
            <w:r>
              <w:rPr>
                <w:rFonts w:ascii="Times New Roman" w:hAnsi="Times New Roman"/>
              </w:rPr>
            </w:r>
          </w:p>
        </w:tc>
      </w:tr>
      <w:tr>
        <w:trPr>
          <w:cantSplit/>
          <w:trHeight w:val="2026"/>
        </w:trPr>
        <w:tc>
          <w:tcPr>
            <w:tcW w:w="26" w:type="dxa"/>
            <w:textDirection w:val="lrTb"/>
            <w:noWrap w:val="false"/>
          </w:tcPr>
          <w:p>
            <w:pPr>
              <w:pStyle w:val="664"/>
              <w:widowControl w:val="off"/>
              <w:rPr>
                <w:rFonts w:ascii="Times New Roman" w:hAnsi="Times New Roman"/>
              </w:rPr>
            </w:pPr>
            <w:r/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91" w:type="dxa"/>
            <w:vAlign w:val="center"/>
            <w:vMerge w:val="continue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332" w:type="dxa"/>
            <w:vAlign w:val="center"/>
            <w:vMerge w:val="continue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10" w:type="dxa"/>
            <w:vAlign w:val="center"/>
            <w:vMerge w:val="continue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253" w:type="dxa"/>
            <w:vAlign w:val="center"/>
            <w:vMerge w:val="continue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highlight w:val="none"/>
                <w:shd w:val="clear" w:color="auto" w:fill="auto"/>
              </w:rPr>
            </w:pPr>
            <w:r>
              <w:rPr>
                <w:sz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b w:val="0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1,2 с уровнем надоя от 4500 до 5500 кг на 1 голову дойного стада в отчетном финансовом году;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1,3 с уровнем надоя от 5500 до 5600 кг на 1 голову дойного стада в отчетном финансовом году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29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1,5 с уровнем надоя выше 5600 кг на 1 голову дойного стада в отчетном финансовом году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right w:w="108" w:type="dxa"/>
            </w:tcMar>
            <w:tcW w:w="1801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auto"/>
                <w:lang w:eastAsia="en-US"/>
              </w:rPr>
              <w:t xml:space="preserve">2 для осуществивших в отчетном финансовом году ввод нетелей </w:t>
            </w:r>
            <w:r>
              <w:rPr>
                <w:b w:val="0"/>
                <w:sz w:val="20"/>
                <w:szCs w:val="20"/>
                <w:shd w:val="clear" w:color="auto" w:fill="auto"/>
              </w:rPr>
              <w:t xml:space="preserve">с уровнем надоя от 5600 кг на 1 голову дойного стада в отчетном финансовом году 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98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0"/>
                <w:szCs w:val="20"/>
                <w:shd w:val="clear" w:color="auto" w:fill="auto"/>
              </w:rPr>
              <w:t xml:space="preserve">1,2 для выполнивших в отчетном календарном году заключительные мероприятия по ликвидации эпизоотического очага лейкоза крупного рогатого скота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05" w:type="dxa"/>
            <w:vAlign w:val="center"/>
            <w:vMerge w:val="continue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</w:tr>
      <w:tr>
        <w:trPr>
          <w:cantSplit/>
          <w:trHeight w:val="209"/>
        </w:trPr>
        <w:tc>
          <w:tcPr>
            <w:tcW w:w="26" w:type="dxa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91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33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shd w:val="clear" w:color="auto" w:fill="auto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10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shd w:val="clear" w:color="auto" w:fill="auto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253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sz w:val="22"/>
                <w:szCs w:val="22"/>
                <w:shd w:val="clear" w:color="auto" w:fill="auto"/>
                <w:lang w:eastAsia="en-US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auto"/>
                <w:lang w:eastAsia="en-US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auto"/>
                <w:lang w:eastAsia="en-US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29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auto"/>
                <w:lang w:eastAsia="en-US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right w:w="108" w:type="dxa"/>
            </w:tcMar>
            <w:tcW w:w="1801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auto"/>
                <w:lang w:eastAsia="en-US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98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shd w:val="clear" w:color="auto" w:fill="auto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05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2"/>
                <w:szCs w:val="22"/>
                <w:shd w:val="clear" w:color="auto" w:fill="auto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379"/>
        </w:trPr>
        <w:tc>
          <w:tcPr>
            <w:tcW w:w="26" w:type="dxa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91" w:type="dxa"/>
            <w:vAlign w:val="center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b/>
                <w:sz w:val="24"/>
                <w:szCs w:val="24"/>
                <w:shd w:val="clear" w:color="auto" w:fill="auto"/>
              </w:rPr>
              <w:t xml:space="preserve">Молоко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33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b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b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10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253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29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right w:w="108" w:type="dxa"/>
            </w:tcMar>
            <w:tcW w:w="1801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98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05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</w:tr>
      <w:tr>
        <w:trPr>
          <w:trHeight w:val="177"/>
        </w:trPr>
        <w:tc>
          <w:tcPr>
            <w:tcW w:w="26" w:type="dxa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91" w:type="dxa"/>
            <w:vAlign w:val="center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ИТОГО: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332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910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253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12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429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right w:w="108" w:type="dxa"/>
            </w:tcMar>
            <w:tcW w:w="1801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898" w:type="dxa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sz w:val="24"/>
                <w:szCs w:val="24"/>
                <w:shd w:val="clear" w:color="auto" w:fill="auto"/>
              </w:rPr>
              <w:t xml:space="preserve">х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1005" w:type="dxa"/>
            <w:vAlign w:val="center"/>
            <w:textDirection w:val="lrTb"/>
            <w:noWrap w:val="false"/>
          </w:tcPr>
          <w:p>
            <w:pPr>
              <w:pStyle w:val="645"/>
              <w:jc w:val="center"/>
              <w:widowControl w:val="off"/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</w:tr>
    </w:tbl>
    <w:p>
      <w:pPr>
        <w:pStyle w:val="645"/>
        <w:jc w:val="both"/>
        <w:rPr>
          <w:rFonts w:ascii="Times New Roman" w:hAnsi="Times New Roman"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  <w:r>
        <w:rPr>
          <w:rFonts w:ascii="Times New Roman" w:hAnsi="Times New Roman" w:eastAsia="Calibri"/>
          <w:sz w:val="16"/>
          <w:szCs w:val="16"/>
          <w:lang w:eastAsia="en-US"/>
        </w:rPr>
      </w:r>
    </w:p>
    <w:p>
      <w:pPr>
        <w:pStyle w:val="645"/>
        <w:jc w:val="right"/>
        <w:spacing w:line="360" w:lineRule="auto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sz w:val="28"/>
          <w:szCs w:val="28"/>
          <w:shd w:val="clear" w:color="auto" w:fill="ffff00"/>
        </w:rPr>
      </w:r>
      <w:r>
        <w:rPr>
          <w:rFonts w:ascii="Times New Roman" w:hAnsi="Times New Roman"/>
          <w:sz w:val="28"/>
          <w:szCs w:val="28"/>
          <w:shd w:val="clear" w:color="auto" w:fill="ffff00"/>
        </w:rPr>
      </w:r>
    </w:p>
    <w:p>
      <w:pPr>
        <w:pStyle w:val="645"/>
        <w:jc w:val="both"/>
        <w:rPr>
          <w:rFonts w:ascii="Times New Roman" w:hAnsi="Times New Roman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*</w:t>
      </w:r>
      <w:r>
        <w:rPr>
          <w:rFonts w:eastAsia="Calibri"/>
          <w:color w:val="000000"/>
          <w:sz w:val="28"/>
          <w:szCs w:val="28"/>
          <w:lang w:eastAsia="en-US"/>
        </w:rPr>
        <w:t xml:space="preserve">реализованного и (или) отгруженного на собственную переработку молока </w:t>
      </w:r>
      <w:r>
        <w:rPr>
          <w:rFonts w:eastAsia="Calibri"/>
          <w:sz w:val="28"/>
          <w:szCs w:val="28"/>
          <w:lang w:eastAsia="en-US"/>
        </w:rPr>
        <w:t xml:space="preserve">(кг)</w:t>
      </w:r>
      <w:r>
        <w:rPr>
          <w:rFonts w:eastAsia="Calibri"/>
          <w:color w:val="000000"/>
          <w:sz w:val="28"/>
          <w:szCs w:val="28"/>
          <w:lang w:eastAsia="en-US"/>
        </w:rPr>
        <w:t xml:space="preserve">, произведенного за отчетный период, </w:t>
      </w:r>
      <w:r>
        <w:rPr>
          <w:rFonts w:eastAsia="Calibri"/>
          <w:sz w:val="28"/>
          <w:szCs w:val="28"/>
          <w:lang w:eastAsia="en-US"/>
        </w:rPr>
        <w:t xml:space="preserve">отраженного в сведениях о производстве продукции животноводства и поголовье скота, за соответствующий период;</w:t>
      </w:r>
      <w:r>
        <w:rPr>
          <w:rFonts w:ascii="Times New Roman" w:hAnsi="Times New Roman"/>
        </w:rPr>
      </w:r>
    </w:p>
    <w:p>
      <w:pPr>
        <w:pStyle w:val="645"/>
        <w:jc w:val="both"/>
        <w:rPr>
          <w:rFonts w:ascii="Times New Roman" w:hAnsi="Times New Roman"/>
        </w:rPr>
      </w:pPr>
      <w:r>
        <w:rPr>
          <w:rFonts w:eastAsia="Calibri"/>
          <w:sz w:val="28"/>
          <w:szCs w:val="28"/>
          <w:lang w:eastAsia="en-US"/>
        </w:rPr>
        <w:t xml:space="preserve">**8 рублей за 1 кг реализованного и (или) отгруж</w:t>
      </w:r>
      <w:r>
        <w:rPr>
          <w:rFonts w:eastAsia="Calibri"/>
          <w:sz w:val="28"/>
          <w:szCs w:val="28"/>
          <w:lang w:eastAsia="en-US"/>
        </w:rPr>
        <w:t xml:space="preserve">енного на собственную переработку молока, соответствующего позициям перечня видов продукции, относимой к сельскохозяйственной продукции, перечня продукции первичной переработки, произведенной из сельскохозяйственного сырья собственного производства, утверж</w:t>
      </w:r>
      <w:r>
        <w:rPr>
          <w:rFonts w:eastAsia="Calibri"/>
          <w:sz w:val="28"/>
          <w:szCs w:val="28"/>
          <w:lang w:eastAsia="en-US"/>
        </w:rPr>
        <w:t xml:space="preserve">денных Постановлением Правительства Российской Федерации от 25 июля 2006 года № 458 «Об отнесении видов продукции к сельскохозяйственной продукции и к продукции первичной переработки, произведенной из сельскохозяйственного сырья собственного производства»;</w:t>
      </w:r>
      <w:r>
        <w:rPr>
          <w:rFonts w:ascii="Times New Roman" w:hAnsi="Times New Roman"/>
        </w:rPr>
      </w:r>
    </w:p>
    <w:p>
      <w:pPr>
        <w:pStyle w:val="645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***10 рублей за 1 кг реализованного и (или) отгруженного на собственную переработку молока с выпуском продукции, не входящей в перечень продукции первичной переработки, для субъектов сельскохозяйственной деятельности, имеющих собственную переработку молока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ascii="Times New Roman" w:hAnsi="Times New Roman"/>
        </w:rPr>
      </w:r>
    </w:p>
    <w:p>
      <w:pPr>
        <w:pStyle w:val="645"/>
        <w:jc w:val="both"/>
        <w:rPr>
          <w:rFonts w:ascii="Times New Roman" w:hAnsi="Times New Roman" w:eastAsia="Calibri"/>
          <w:sz w:val="28"/>
          <w:szCs w:val="28"/>
          <w:shd w:val="clear" w:color="auto" w:fill="ffd8ce"/>
          <w:lang w:eastAsia="en-US"/>
        </w:rPr>
      </w:pPr>
      <w:r>
        <w:rPr>
          <w:rFonts w:eastAsia="Calibri"/>
          <w:sz w:val="28"/>
          <w:szCs w:val="28"/>
          <w:shd w:val="clear" w:color="auto" w:fill="ffd8ce"/>
          <w:lang w:eastAsia="en-US"/>
        </w:rPr>
      </w:r>
      <w:r>
        <w:rPr>
          <w:rFonts w:ascii="Times New Roman" w:hAnsi="Times New Roman" w:eastAsia="Calibri"/>
          <w:sz w:val="28"/>
          <w:szCs w:val="28"/>
          <w:shd w:val="clear" w:color="auto" w:fill="ffd8ce"/>
          <w:lang w:eastAsia="en-US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7576"/>
        <w:gridCol w:w="6994"/>
      </w:tblGrid>
      <w:tr>
        <w:trPr>
          <w:trHeight w:val="1255"/>
        </w:trPr>
        <w:tc>
          <w:tcPr>
            <w:tcW w:w="7576" w:type="dxa"/>
            <w:textDirection w:val="lrTb"/>
            <w:noWrap w:val="false"/>
          </w:tcPr>
          <w:p>
            <w:pPr>
              <w:pStyle w:val="64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Руководитель</w:t>
            </w:r>
            <w:r>
              <w:rPr>
                <w:rFonts w:ascii="Times New Roman" w:hAnsi="Times New Roman"/>
              </w:rPr>
            </w:r>
          </w:p>
          <w:p>
            <w:pPr>
              <w:pStyle w:val="66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rFonts w:eastAsia="Calibri"/>
                <w:szCs w:val="28"/>
                <w:highlight w:val="white"/>
                <w:shd w:val="clear" w:color="auto" w:fill="ffffff"/>
                <w:lang w:eastAsia="en-US"/>
              </w:rPr>
              <w:t xml:space="preserve">субъекта сельскохозяйственной деятельности</w:t>
            </w:r>
            <w:r>
              <w:rPr>
                <w:rFonts w:ascii="Times New Roman" w:hAnsi="Times New Roman"/>
              </w:rPr>
            </w:r>
          </w:p>
          <w:p>
            <w:pPr>
              <w:pStyle w:val="665"/>
              <w:jc w:val="both"/>
              <w:widowControl w:val="off"/>
              <w:rPr>
                <w:rFonts w:ascii="Times New Roman" w:hAnsi="Times New Roman" w:eastAsia="Calibri"/>
                <w:szCs w:val="28"/>
                <w:highlight w:val="white"/>
                <w:shd w:val="clear" w:color="auto" w:fill="ffffff"/>
                <w:lang w:eastAsia="en-US"/>
              </w:rPr>
            </w:pPr>
            <w:r>
              <w:rPr>
                <w:rFonts w:eastAsia="Calibri"/>
                <w:szCs w:val="28"/>
                <w:highlight w:val="white"/>
                <w:shd w:val="clear" w:color="auto" w:fill="ffffff"/>
                <w:lang w:eastAsia="en-US"/>
              </w:rPr>
            </w:r>
            <w:r>
              <w:rPr>
                <w:rFonts w:ascii="Times New Roman" w:hAnsi="Times New Roman" w:eastAsia="Calibri"/>
                <w:szCs w:val="28"/>
                <w:highlight w:val="white"/>
                <w:shd w:val="clear" w:color="auto" w:fill="ffffff"/>
                <w:lang w:eastAsia="en-US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_____________     __________________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М.П.</w:t>
            </w:r>
            <w:r>
              <w:rPr>
                <w:rFonts w:ascii="Times New Roman" w:hAnsi="Times New Roman"/>
              </w:rPr>
            </w:r>
          </w:p>
        </w:tc>
        <w:tc>
          <w:tcPr>
            <w:tcW w:w="6994" w:type="dxa"/>
            <w:textDirection w:val="lrTb"/>
            <w:noWrap w:val="false"/>
          </w:tcPr>
          <w:p>
            <w:pPr>
              <w:pStyle w:val="645"/>
              <w:jc w:val="both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Главный бухгалтер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___________     _________________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jc w:val="both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45"/>
        <w:jc w:val="both"/>
        <w:rPr>
          <w:rFonts w:ascii="Times New Roman" w:hAnsi="Times New Roman"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</w:r>
      <w:r>
        <w:rPr>
          <w:rFonts w:ascii="Times New Roman" w:hAnsi="Times New Roman" w:eastAsia="Calibri"/>
          <w:b/>
          <w:sz w:val="20"/>
          <w:szCs w:val="20"/>
          <w:lang w:eastAsia="en-US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7576"/>
        <w:gridCol w:w="6994"/>
      </w:tblGrid>
      <w:tr>
        <w:trPr>
          <w:trHeight w:val="1483"/>
        </w:trPr>
        <w:tc>
          <w:tcPr>
            <w:tcW w:w="7576" w:type="dxa"/>
            <w:textDirection w:val="lrTb"/>
            <w:noWrap w:val="false"/>
          </w:tcPr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Специалист отдела государственной поддержки агропромышленного комплекса министерства сельского хозяйства</w:t>
            </w:r>
            <w:r>
              <w:rPr>
                <w:color w:val="ffffff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</w:r>
            <w:r>
              <w:rPr>
                <w:rFonts w:ascii="Times New Roman" w:hAnsi="Times New Roman"/>
                <w:color w:val="ffffff"/>
                <w:sz w:val="28"/>
                <w:szCs w:val="28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_____________     __________________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rFonts w:ascii="Times New Roman" w:hAnsi="Times New Roman"/>
              </w:rPr>
            </w:r>
          </w:p>
        </w:tc>
        <w:tc>
          <w:tcPr>
            <w:tcW w:w="6994" w:type="dxa"/>
            <w:textDirection w:val="lrTb"/>
            <w:noWrap w:val="false"/>
          </w:tcPr>
          <w:p>
            <w:pPr>
              <w:pStyle w:val="645"/>
              <w:ind w:left="33" w:firstLine="0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Начальник отдела государственной поддержки агропромышленного комплекса министерства сельского хозяйства</w:t>
            </w:r>
            <w:r>
              <w:rPr>
                <w:color w:val="ffffff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Приморского края 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</w:r>
            <w:r>
              <w:rPr>
                <w:rFonts w:ascii="Times New Roman" w:hAnsi="Times New Roman"/>
                <w:color w:val="ffffff"/>
                <w:sz w:val="28"/>
                <w:szCs w:val="28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____________     ________________</w:t>
            </w:r>
            <w:r>
              <w:rPr>
                <w:rFonts w:ascii="Times New Roman" w:hAnsi="Times New Roman"/>
              </w:rPr>
            </w:r>
          </w:p>
          <w:p>
            <w:pPr>
              <w:pStyle w:val="645"/>
              <w:widowControl w:val="off"/>
              <w:rPr>
                <w:rFonts w:ascii="Times New Roman" w:hAnsi="Times New Roman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645"/>
        <w:ind w:left="708" w:firstLine="708"/>
        <w:jc w:val="right"/>
        <w:rPr>
          <w:rFonts w:ascii="Times New Roman" w:hAnsi="Times New Roman"/>
        </w:rPr>
      </w:pPr>
      <w:r>
        <w:rPr>
          <w:sz w:val="28"/>
          <w:szCs w:val="28"/>
        </w:rPr>
        <w:t xml:space="preserve">М.П.»</w:t>
      </w:r>
      <w:r>
        <w:rPr>
          <w:rFonts w:ascii="Times New Roman" w:hAnsi="Times New Roman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342" w:right="850" w:bottom="142" w:left="1417" w:header="285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Noto Sans Devanagari">
    <w:panose1 w:val="020B0502040504020204"/>
  </w:font>
  <w:font w:name="Arial">
    <w:panose1 w:val="020B0604020202020204"/>
  </w:font>
  <w:font w:name="PT Astra Serif">
    <w:panose1 w:val="020A0603040505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5"/>
    <w:next w:val="6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5"/>
    <w:next w:val="6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5"/>
    <w:next w:val="6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5"/>
    <w:next w:val="6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6"/>
    <w:link w:val="654"/>
    <w:uiPriority w:val="10"/>
    <w:rPr>
      <w:sz w:val="48"/>
      <w:szCs w:val="48"/>
    </w:rPr>
  </w:style>
  <w:style w:type="paragraph" w:styleId="36">
    <w:name w:val="Subtitle"/>
    <w:basedOn w:val="645"/>
    <w:next w:val="6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6"/>
    <w:link w:val="36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6"/>
    <w:link w:val="658"/>
    <w:uiPriority w:val="99"/>
  </w:style>
  <w:style w:type="character" w:styleId="45">
    <w:name w:val="Footer Char"/>
    <w:basedOn w:val="646"/>
    <w:link w:val="662"/>
    <w:uiPriority w:val="99"/>
  </w:style>
  <w:style w:type="character" w:styleId="47">
    <w:name w:val="Caption Char"/>
    <w:basedOn w:val="655"/>
    <w:link w:val="662"/>
    <w:uiPriority w:val="99"/>
  </w:style>
  <w:style w:type="table" w:styleId="48">
    <w:name w:val="Table Grid"/>
    <w:basedOn w:val="6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6"/>
    <w:uiPriority w:val="99"/>
    <w:unhideWhenUsed/>
    <w:rPr>
      <w:vertAlign w:val="superscript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6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5"/>
    <w:next w:val="6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5"/>
    <w:next w:val="6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5"/>
    <w:next w:val="6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5"/>
    <w:next w:val="6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5"/>
    <w:next w:val="6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5"/>
    <w:next w:val="6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5"/>
    <w:next w:val="6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5"/>
    <w:next w:val="6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46" w:default="1">
    <w:name w:val="Default Paragraph Font"/>
    <w:uiPriority w:val="1"/>
    <w:semiHidden/>
    <w:unhideWhenUsed/>
    <w:qFormat/>
  </w:style>
  <w:style w:type="character" w:styleId="647" w:customStyle="1">
    <w:name w:val="Верхний колонтитул Знак"/>
    <w:qFormat/>
    <w:rPr>
      <w:sz w:val="24"/>
      <w:szCs w:val="24"/>
    </w:rPr>
  </w:style>
  <w:style w:type="character" w:styleId="648" w:customStyle="1">
    <w:name w:val="Нижний колонтитул Знак"/>
    <w:qFormat/>
    <w:rPr>
      <w:sz w:val="24"/>
      <w:szCs w:val="24"/>
    </w:rPr>
  </w:style>
  <w:style w:type="paragraph" w:styleId="649">
    <w:name w:val="Заголовок"/>
    <w:basedOn w:val="645"/>
    <w:next w:val="65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0">
    <w:name w:val="Body Text"/>
    <w:basedOn w:val="645"/>
    <w:pPr>
      <w:spacing w:before="0" w:after="140" w:line="276" w:lineRule="auto"/>
    </w:pPr>
  </w:style>
  <w:style w:type="paragraph" w:styleId="651">
    <w:name w:val="List"/>
    <w:basedOn w:val="650"/>
    <w:rPr>
      <w:rFonts w:ascii="PT Astra Serif" w:hAnsi="PT Astra Serif" w:cs="Noto Sans Devanagari"/>
    </w:rPr>
  </w:style>
  <w:style w:type="paragraph" w:styleId="652">
    <w:name w:val="Caption"/>
    <w:basedOn w:val="645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53">
    <w:name w:val="Указатель"/>
    <w:basedOn w:val="645"/>
    <w:qFormat/>
    <w:pPr>
      <w:suppressLineNumbers/>
    </w:pPr>
    <w:rPr>
      <w:rFonts w:ascii="PT Astra Serif" w:hAnsi="PT Astra Serif" w:cs="Noto Sans Devanagari"/>
    </w:rPr>
  </w:style>
  <w:style w:type="paragraph" w:styleId="654">
    <w:name w:val="Title"/>
    <w:basedOn w:val="645"/>
    <w:next w:val="65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55">
    <w:name w:val="Caption"/>
    <w:basedOn w:val="645"/>
    <w:qFormat/>
    <w:pPr>
      <w:spacing w:before="120" w:after="120"/>
      <w:suppressLineNumbers/>
    </w:pPr>
    <w:rPr>
      <w:rFonts w:ascii="PT Astra Serif" w:hAnsi="PT Astra Serif" w:cs="Noto Sans Devanagari"/>
      <w:i/>
      <w:iCs/>
    </w:rPr>
  </w:style>
  <w:style w:type="paragraph" w:styleId="656">
    <w:name w:val="index heading"/>
    <w:basedOn w:val="645"/>
    <w:qFormat/>
    <w:pPr>
      <w:suppressLineNumbers/>
    </w:pPr>
    <w:rPr>
      <w:rFonts w:ascii="PT Astra Serif" w:hAnsi="PT Astra Serif" w:cs="Noto Sans Devanagari"/>
    </w:rPr>
  </w:style>
  <w:style w:type="paragraph" w:styleId="657" w:customStyle="1">
    <w:name w:val="Колонтитул"/>
    <w:basedOn w:val="645"/>
    <w:qFormat/>
    <w:pPr>
      <w:tabs>
        <w:tab w:val="clear" w:pos="708" w:leader="none"/>
        <w:tab w:val="center" w:pos="4819" w:leader="none"/>
        <w:tab w:val="right" w:pos="9638" w:leader="none"/>
      </w:tabs>
      <w:suppressLineNumbers/>
    </w:pPr>
  </w:style>
  <w:style w:type="paragraph" w:styleId="658">
    <w:name w:val="Header"/>
    <w:basedOn w:val="645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9" w:customStyle="1">
    <w:name w:val="ConsPlusNonformat"/>
    <w:qFormat/>
    <w:pPr>
      <w:jc w:val="left"/>
      <w:spacing w:before="0" w:after="0"/>
      <w:widowControl/>
    </w:pPr>
    <w:rPr>
      <w:rFonts w:ascii="Courier New" w:hAnsi="Courier New" w:eastAsia="Times New Roman" w:cs="Courier New"/>
      <w:color w:val="auto"/>
      <w:sz w:val="20"/>
      <w:szCs w:val="20"/>
      <w:lang w:val="ru-RU" w:eastAsia="zh-CN" w:bidi="ar-SA"/>
    </w:rPr>
  </w:style>
  <w:style w:type="paragraph" w:styleId="660" w:customStyle="1">
    <w:name w:val="ConsNormal"/>
    <w:qFormat/>
    <w:pPr>
      <w:ind w:right="19772" w:firstLine="720"/>
      <w:jc w:val="left"/>
      <w:spacing w:before="0" w:after="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661">
    <w:name w:val="Balloon Text"/>
    <w:basedOn w:val="645"/>
    <w:qFormat/>
    <w:rPr>
      <w:rFonts w:ascii="Tahoma" w:hAnsi="Tahoma" w:cs="Tahoma"/>
      <w:sz w:val="16"/>
      <w:szCs w:val="16"/>
    </w:rPr>
  </w:style>
  <w:style w:type="paragraph" w:styleId="662">
    <w:name w:val="Footer"/>
    <w:basedOn w:val="645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63" w:customStyle="1">
    <w:name w:val="Содержимое таблицы"/>
    <w:basedOn w:val="645"/>
    <w:qFormat/>
    <w:pPr>
      <w:widowControl w:val="off"/>
      <w:suppressLineNumbers/>
    </w:pPr>
  </w:style>
  <w:style w:type="paragraph" w:styleId="664" w:customStyle="1">
    <w:name w:val="Заголовок таблицы"/>
    <w:basedOn w:val="663"/>
    <w:qFormat/>
    <w:pPr>
      <w:jc w:val="center"/>
    </w:pPr>
    <w:rPr>
      <w:b/>
      <w:bCs/>
    </w:rPr>
  </w:style>
  <w:style w:type="paragraph" w:styleId="665" w:customStyle="1">
    <w:name w:val="ConsPlusNormal"/>
    <w:qFormat/>
    <w:pPr>
      <w:jc w:val="left"/>
      <w:spacing w:before="0" w:after="0"/>
      <w:widowControl w:val="off"/>
    </w:pPr>
    <w:rPr>
      <w:rFonts w:ascii="Times New Roman" w:hAnsi="Times New Roman" w:eastAsia="Arial" w:cs="Times New Roman"/>
      <w:color w:val="auto"/>
      <w:sz w:val="28"/>
      <w:szCs w:val="24"/>
      <w:lang w:val="ru-RU" w:eastAsia="zh-CN" w:bidi="ar-SA"/>
    </w:rPr>
  </w:style>
  <w:style w:type="numbering" w:styleId="666" w:default="1">
    <w:name w:val="No List"/>
    <w:uiPriority w:val="99"/>
    <w:semiHidden/>
    <w:unhideWhenUsed/>
    <w:qFormat/>
  </w:style>
  <w:style w:type="table" w:styleId="66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APK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Rachenkov_AU</dc:creator>
  <dc:description/>
  <dc:language>ru-RU</dc:language>
  <cp:revision>61</cp:revision>
  <dcterms:created xsi:type="dcterms:W3CDTF">2020-03-26T11:23:00Z</dcterms:created>
  <dcterms:modified xsi:type="dcterms:W3CDTF">2024-03-26T04:25:47Z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